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42"/>
        <w:spacing w:after="0" w:line="240" w:lineRule="auto"/>
        <w:tabs defTabSz="708">
          <w:tab w:val="left" w:pos="5595" w:leader="none"/>
        </w:tabs>
        <w:rPr>
          <w:rFonts w:ascii="Book Antiqua" w:hAnsi="Book Antiqua" w:cs="Times New Roman"/>
          <w:b/>
          <w:bCs/>
          <w:sz w:val="32"/>
          <w:szCs w:val="32"/>
        </w:rPr>
      </w:pPr>
      <w:r>
        <w:rPr>
          <w:rFonts w:ascii="Book Antiqua" w:hAnsi="Book Antiqua" w:cs="Times New Roman"/>
          <w:b/>
          <w:bCs/>
          <w:sz w:val="32"/>
          <w:szCs w:val="32"/>
        </w:rPr>
        <w:t>4. ADVENTNA NEDELJA</w:t>
      </w:r>
    </w:p>
    <w:p>
      <w:pPr>
        <w:spacing w:before="12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543"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66296532" protected="0"/>
          </w:tcPr>
          <w:p>
            <w:pPr>
              <w:ind w:left="38" w:right="-108"/>
              <w:spacing w:line="240" w:lineRule="atLeast"/>
              <w:rPr>
                <w:rFonts w:ascii="Book Antiqua" w:hAnsi="Book Antiqua" w:cs="Times New Roman"/>
                <w:b/>
                <w:bCs/>
                <w:sz w:val="28"/>
                <w:szCs w:val="28"/>
              </w:rPr>
            </w:pPr>
            <w:r>
              <w:rPr>
                <w:rFonts w:ascii="Book Antiqua" w:hAnsi="Book Antiqua" w:cs="Times New Roman"/>
                <w:sz w:val="28"/>
                <w:szCs w:val="28"/>
              </w:rPr>
              <w:t>PONEDELJEK</w:t>
            </w:r>
            <w:r>
              <w:rPr>
                <w:rFonts w:ascii="Book Antiqua" w:hAnsi="Book Antiqua" w:cs="Times New Roman"/>
                <w:b/>
                <w:bCs/>
                <w:sz w:val="28"/>
                <w:szCs w:val="28"/>
              </w:rPr>
              <w:t xml:space="preserve"> </w:t>
            </w:r>
            <w:r>
              <w:rPr>
                <w:rFonts w:ascii="Book Antiqua" w:hAnsi="Book Antiqua" w:cs="Times New Roman"/>
                <w:b/>
                <w:bCs/>
                <w:sz w:val="28"/>
                <w:szCs w:val="28"/>
              </w:rPr>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b/>
                <w:bCs/>
                <w:sz w:val="28"/>
                <w:szCs w:val="28"/>
              </w:rPr>
              <w:t>ČETRTEK</w:t>
            </w:r>
            <w:r>
              <w:rPr>
                <w:rFonts w:ascii="Book Antiqua" w:hAnsi="Book Antiqua" w:cs="Times New Roman"/>
                <w:sz w:val="28"/>
                <w:szCs w:val="28"/>
              </w:rPr>
              <w:t xml:space="preserve"> </w:t>
            </w:r>
          </w:p>
          <w:p>
            <w:pPr>
              <w:ind w:left="38" w:right="-108"/>
              <w:spacing w:line="240" w:lineRule="atLeast"/>
              <w:rPr>
                <w:rFonts w:ascii="Book Antiqua" w:hAnsi="Book Antiqua" w:cs="Times New Roman"/>
                <w:bCs/>
                <w:sz w:val="28"/>
                <w:szCs w:val="28"/>
              </w:rPr>
            </w:pPr>
            <w:r>
              <w:rPr>
                <w:rFonts w:ascii="Book Antiqua" w:hAnsi="Book Antiqua" w:cs="Times New Roman"/>
                <w:bCs/>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66296532"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22.12.    </w:t>
            </w:r>
          </w:p>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23.12.    </w:t>
            </w:r>
          </w:p>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24.12.           </w:t>
            </w:r>
          </w:p>
          <w:p>
            <w:pPr>
              <w:spacing w:line="240" w:lineRule="atLeast"/>
              <w:jc w:val="right"/>
              <w:rPr>
                <w:rFonts w:ascii="Book Antiqua" w:hAnsi="Book Antiqua" w:cs="Times New Roman"/>
                <w:sz w:val="28"/>
                <w:szCs w:val="28"/>
              </w:rPr>
            </w:pPr>
            <w:r>
              <w:rPr>
                <w:rFonts w:ascii="Book Antiqua" w:hAnsi="Book Antiqua" w:cs="Times New Roman"/>
                <w:b/>
                <w:bCs/>
                <w:sz w:val="28"/>
                <w:szCs w:val="28"/>
              </w:rPr>
              <w:t>25.12.</w:t>
            </w:r>
            <w:r>
              <w:rPr>
                <w:rFonts w:ascii="Book Antiqua" w:hAnsi="Book Antiqua" w:cs="Times New Roman"/>
                <w:sz w:val="28"/>
                <w:szCs w:val="28"/>
              </w:rPr>
              <w:t xml:space="preserve">   </w:t>
            </w:r>
          </w:p>
          <w:p>
            <w:pPr>
              <w:spacing w:line="240" w:lineRule="atLeast"/>
              <w:jc w:val="right"/>
              <w:rPr>
                <w:rFonts w:ascii="Book Antiqua" w:hAnsi="Book Antiqua" w:cs="Times New Roman"/>
                <w:sz w:val="28"/>
                <w:szCs w:val="28"/>
              </w:rPr>
            </w:pPr>
            <w:r>
              <w:rPr>
                <w:rFonts w:ascii="Book Antiqua" w:hAnsi="Book Antiqua" w:cs="Times New Roman"/>
                <w:sz w:val="28"/>
                <w:szCs w:val="28"/>
              </w:rPr>
              <w:t>26.12.</w:t>
            </w:r>
          </w:p>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27.12. </w:t>
            </w:r>
          </w:p>
          <w:p>
            <w:pPr>
              <w:spacing w:line="240" w:lineRule="atLeast"/>
              <w:jc w:val="right"/>
              <w:rPr>
                <w:rFonts w:ascii="Book Antiqua" w:hAnsi="Book Antiqua" w:cs="Times New Roman"/>
                <w:sz w:val="28"/>
                <w:szCs w:val="28"/>
              </w:rPr>
            </w:pPr>
            <w:r>
              <w:rPr>
                <w:rFonts w:ascii="Book Antiqua" w:hAnsi="Book Antiqua" w:cs="Times New Roman"/>
                <w:sz w:val="28"/>
                <w:szCs w:val="28"/>
              </w:rPr>
              <w:t>28.12.</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66296532" protected="0"/>
          </w:tcPr>
          <w:p>
            <w:pPr>
              <w:pStyle w:val="para5"/>
              <w:suppressAutoHyphens/>
              <w:hyphenationLines w:val="0"/>
              <w:rPr>
                <w:rFonts w:ascii="Book Antiqua" w:hAnsi="Book Antiqua" w:eastAsia="Calibri" w:cs="Times New Roman"/>
                <w:sz w:val="28"/>
                <w:szCs w:val="28"/>
                <w:lang w:eastAsia="en-us" w:bidi="ar-sa"/>
              </w:rPr>
            </w:pPr>
            <w:r>
              <w:rPr>
                <w:rFonts w:ascii="Book Antiqua" w:hAnsi="Book Antiqua" w:eastAsia="Calibri" w:cs="Times New Roman"/>
                <w:sz w:val="28"/>
                <w:szCs w:val="28"/>
                <w:lang w:eastAsia="en-us" w:bidi="ar-sa"/>
              </w:rPr>
              <w:t>sv. FRANČIŠKA CABRINI, sedovna ustanoviteljica</w:t>
            </w:r>
          </w:p>
          <w:p>
            <w:pPr>
              <w:spacing w:line="240" w:lineRule="atLeast"/>
              <w:rPr>
                <w:rFonts w:ascii="Book Antiqua" w:hAnsi="Book Antiqua"/>
                <w:sz w:val="28"/>
                <w:szCs w:val="28"/>
              </w:rPr>
            </w:pPr>
            <w:r>
              <w:rPr>
                <w:rFonts w:ascii="Book Antiqua" w:hAnsi="Book Antiqua"/>
                <w:sz w:val="28"/>
                <w:szCs w:val="28"/>
              </w:rPr>
              <w:t>sv. JANEZ KANCIJ, duhovnik</w:t>
            </w:r>
          </w:p>
          <w:p>
            <w:pPr>
              <w:spacing w:line="240" w:lineRule="atLeast"/>
              <w:rPr>
                <w:rFonts w:ascii="Book Antiqua" w:hAnsi="Book Antiqua"/>
                <w:sz w:val="27"/>
                <w:szCs w:val="27"/>
              </w:rPr>
            </w:pPr>
            <w:r>
              <w:rPr>
                <w:rFonts w:ascii="Book Antiqua" w:hAnsi="Book Antiqua"/>
                <w:sz w:val="28"/>
                <w:szCs w:val="28"/>
              </w:rPr>
              <w:t xml:space="preserve">ADAM in EVA, prastarši, </w:t>
            </w:r>
            <w:r>
              <w:rPr>
                <w:rFonts w:ascii="Book Antiqua" w:hAnsi="Book Antiqua"/>
                <w:b/>
                <w:bCs/>
                <w:sz w:val="28"/>
                <w:szCs w:val="28"/>
              </w:rPr>
              <w:t>PRVI SVETI VEČER</w:t>
            </w:r>
            <w:r>
              <w:rPr>
                <w:rFonts w:ascii="Book Antiqua" w:hAnsi="Book Antiqua"/>
                <w:sz w:val="27"/>
                <w:szCs w:val="27"/>
              </w:rPr>
            </w:r>
          </w:p>
          <w:p>
            <w:pPr>
              <w:spacing w:line="240" w:lineRule="atLeast"/>
              <w:tabs defTabSz="708">
                <w:tab w:val="left" w:pos="6901" w:leader="none"/>
              </w:tabs>
              <w:rPr>
                <w:rFonts w:ascii="Book Antiqua" w:hAnsi="Book Antiqua" w:cs="Times New Roman"/>
                <w:b/>
                <w:bCs/>
                <w:sz w:val="28"/>
                <w:szCs w:val="28"/>
              </w:rPr>
            </w:pPr>
            <w:r>
              <w:rPr>
                <w:rFonts w:ascii="Book Antiqua" w:hAnsi="Book Antiqua" w:cs="Times New Roman"/>
                <w:b/>
                <w:bCs/>
                <w:sz w:val="28"/>
                <w:szCs w:val="28"/>
              </w:rPr>
              <w:t>BOŽIČ – GOSPODOVO ROJSTVO</w:t>
            </w:r>
          </w:p>
          <w:p>
            <w:pPr>
              <w:spacing w:line="240" w:lineRule="atLeast"/>
              <w:tabs defTabSz="708">
                <w:tab w:val="left" w:pos="7260" w:leader="none"/>
              </w:tabs>
              <w:rPr>
                <w:rFonts w:ascii="Book Antiqua" w:hAnsi="Book Antiqua" w:cs="Times New Roman"/>
                <w:sz w:val="28"/>
                <w:szCs w:val="28"/>
              </w:rPr>
            </w:pPr>
            <w:r>
              <w:rPr>
                <w:rFonts w:ascii="Book Antiqua" w:hAnsi="Book Antiqua" w:cs="Times New Roman"/>
                <w:sz w:val="28"/>
                <w:szCs w:val="28"/>
              </w:rPr>
              <w:t xml:space="preserve">sv. ŠTEFAN, prvi mučenec; </w:t>
            </w:r>
            <w:r>
              <w:rPr>
                <w:rFonts w:ascii="Book Antiqua" w:hAnsi="Book Antiqua" w:cs="Times New Roman"/>
                <w:sz w:val="27"/>
                <w:szCs w:val="27"/>
              </w:rPr>
              <w:t>DAN SAMOSTOJNOSTI</w:t>
            </w:r>
            <w:r>
              <w:rPr>
                <w:rFonts w:ascii="Book Antiqua" w:hAnsi="Book Antiqua" w:cs="Times New Roman"/>
                <w:sz w:val="28"/>
                <w:szCs w:val="28"/>
              </w:rPr>
            </w:r>
          </w:p>
          <w:p>
            <w:pPr>
              <w:spacing w:line="240" w:lineRule="atLeast"/>
              <w:tabs defTabSz="708">
                <w:tab w:val="left" w:pos="7260" w:leader="none"/>
              </w:tabs>
              <w:rPr>
                <w:rFonts w:ascii="Book Antiqua" w:hAnsi="Book Antiqua" w:cs="Times New Roman"/>
                <w:bCs/>
                <w:sz w:val="28"/>
                <w:szCs w:val="28"/>
              </w:rPr>
            </w:pPr>
            <w:r>
              <w:rPr>
                <w:rFonts w:ascii="Book Antiqua" w:hAnsi="Book Antiqua" w:cs="Times New Roman"/>
                <w:bCs/>
                <w:sz w:val="28"/>
                <w:szCs w:val="28"/>
              </w:rPr>
              <w:t>sv. JANEZ, apostol in evangelist</w:t>
            </w:r>
          </w:p>
          <w:p>
            <w:pPr>
              <w:ind w:left="38" w:hanging="38"/>
              <w:tabs defTabSz="708">
                <w:tab w:val="left" w:pos="7126" w:leader="none"/>
              </w:tabs>
              <w:rPr>
                <w:rFonts w:ascii="Book Antiqua" w:hAnsi="Book Antiqua" w:cs="Times New Roman"/>
                <w:bCs/>
                <w:sz w:val="28"/>
                <w:szCs w:val="28"/>
              </w:rPr>
            </w:pPr>
            <w:r>
              <w:rPr>
                <w:rFonts w:ascii="Book Antiqua" w:hAnsi="Book Antiqua" w:cs="Times New Roman"/>
                <w:bCs/>
                <w:sz w:val="28"/>
                <w:szCs w:val="28"/>
              </w:rPr>
              <w:t>NEDOLŽNI OTROCI</w:t>
            </w:r>
          </w:p>
        </w:tc>
      </w:tr>
    </w:tbl>
    <w:p>
      <w:pPr>
        <w:ind w:left="-142"/>
        <w:spacing w:before="120" w:after="0" w:line="240" w:lineRule="auto"/>
        <w:tabs defTabSz="708">
          <w:tab w:val="left" w:pos="5595" w:leader="none"/>
        </w:tabs>
        <w:rPr>
          <w:rFonts w:ascii="Book Antiqua" w:hAnsi="Book Antiqua" w:cs="Times New Roman"/>
          <w:b/>
          <w:bCs/>
          <w:sz w:val="32"/>
          <w:szCs w:val="32"/>
        </w:rPr>
      </w:pPr>
      <w:r>
        <w:rPr>
          <w:rFonts w:ascii="Book Antiqua" w:hAnsi="Book Antiqua" w:cs="Times New Roman"/>
          <w:b/>
          <w:sz w:val="32"/>
          <w:szCs w:val="32"/>
        </w:rPr>
        <w:t xml:space="preserve">Danes teden: </w:t>
      </w:r>
      <w:r>
        <w:rPr>
          <w:rFonts w:ascii="Book Antiqua" w:hAnsi="Book Antiqua" w:cs="Times New Roman"/>
          <w:b/>
          <w:bCs/>
          <w:sz w:val="32"/>
          <w:szCs w:val="32"/>
        </w:rPr>
        <w:t>SVETA DRUŽINA; ZAKLJUČEK SVETEGA LETA</w:t>
      </w:r>
      <w:r>
        <w:rPr>
          <w:rFonts w:ascii="Book Antiqua" w:hAnsi="Book Antiqua" w:cs="Times New Roman"/>
          <w:b/>
          <w:bCs/>
          <w:sz w:val="32"/>
          <w:szCs w:val="32"/>
        </w:rPr>
      </w:r>
    </w:p>
    <w:p>
      <w:pPr>
        <w:ind w:left="-142"/>
        <w:spacing w:before="12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Še danes, jutri in v torek je v podružnični cerkvi v Hlevnem Vrhu ob 17. uri BOŽIČNA DEVEDNEVNICA. Lepo vabljeni.</w:t>
      </w:r>
    </w:p>
    <w:p>
      <w:pPr>
        <w:ind w:left="-142"/>
        <w:spacing w:before="12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 xml:space="preserve">V sredo zvečer je PRVI SVETI VEČER. Ohranimo bogato izročilo in po družinah pokropimo in pokadimo domove ter se zberimo k molitvi rožnega venca. Naj bodo ti večeri prošnja za blagoslov, mir in povezanost. </w:t>
      </w:r>
    </w:p>
    <w:p>
      <w:pPr>
        <w:ind w:left="-142"/>
        <w:spacing w:before="12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Kot običajno bodo mladi 15 minut pred polnočnico pripravili kratko božičnico. Na Božič je sveta maša ob 10. uri. Po maši je darovanje za oba duhovnika.</w:t>
      </w:r>
    </w:p>
    <w:p>
      <w:pPr>
        <w:ind w:left="-142"/>
        <w:spacing w:before="12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 xml:space="preserve">V petek obhajamo god svetega Štefana, prvega mučenca. Ta dan praznujemo tudi državni praznik Dan samostojnosti in enotnosti. Pri maši je običajni blagoslov soli, ki jo navadno primešamo krmi za živino. Po maši se bo pričela TRIKRALJEVSKA AKCIJA, ko bodo koledniki obiskali in blagoslovili naše domove ter nabirali darove za potrebe Slovenskih misijonarjev. </w:t>
      </w:r>
    </w:p>
    <w:p>
      <w:pPr>
        <w:ind w:left="-142"/>
        <w:spacing w:before="12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Gasilci PGD Žiri, vabijo na potopisno predavanje zakoncev Marije in Andreja Štremfelj o njuni poti po Himalaji, ki bo v petek, 26. decembra, ob 19. uri v kinodvorani Žiri.</w:t>
      </w:r>
    </w:p>
    <w:p>
      <w:pPr>
        <w:ind w:left="-142"/>
        <w:spacing w:before="12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Naslednjo nedeljo praznujemo slovesni praznik Svete Družine. Pri maši je BLAGOSLOV OTROK. Na to nedeljo se v naši nadškofiji zaključuje Sveto leto. Slovesni sklep Svetega leta bo v ljubljanski stolnici s sv. mašo ob 16.00.</w:t>
      </w:r>
    </w:p>
    <w:p>
      <w:pPr>
        <w:ind w:left="-142"/>
        <w:spacing w:before="12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 xml:space="preserve">V ŽUPNIŠČU SO NA VOLJO KOLEDARJI, PRATIKA, KADILO IN OGLJE. </w:t>
      </w:r>
    </w:p>
    <w:p>
      <w:pPr>
        <w:ind w:left="-142"/>
        <w:spacing w:before="12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Oba duhovnika želiva vsem faranom in farankam mirne in blagoslovljene božične in novoletne paznike.</w:t>
      </w:r>
    </w:p>
    <w:p>
      <w:pPr>
        <w:ind w:right="142"/>
        <w:spacing w:before="24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21. 12. ob 9h + OTRIN, Žirovski Vrh</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SREDA</w:t>
        <w:tab/>
        <w:tab/>
        <w:t>24. 12. ob 24h (POLNOČNICA) ZA FARANE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ČETREK, </w:t>
        <w:tab/>
        <w:tab/>
        <w:t>25. 12. ob 10h + STARŠI SEDEJ, Hlevni Vrh 4</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PETEK, </w:t>
        <w:tab/>
        <w:tab/>
        <w:t>26. 12. ob 10h + FRANČIŠKA KRVINA, Lavrovec 2</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2</w:t>
      </w:r>
      <w:r>
        <w:rPr>
          <w:rFonts w:ascii="Book Antiqua" w:hAnsi="Book Antiqua" w:cs="Times New Roman"/>
          <w:b/>
          <w:sz w:val="26"/>
          <w:szCs w:val="26"/>
        </w:rPr>
        <w:t>8. 12. ob 9h + RAFAEL KRVINA, obl. in MAGANOVI, Lavrovec 2</w:t>
      </w:r>
      <w:r>
        <w:rPr>
          <w:rFonts w:ascii="Book Antiqua" w:hAnsi="Book Antiqua" w:cs="Times New Roman"/>
          <w:b/>
          <w:sz w:val="28"/>
          <w:szCs w:val="28"/>
        </w:r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8"/>
      <w:tmLastPosIdx w:val="28"/>
    </w:tmLastPosCaret>
    <w:tmLastPosAnchor>
      <w:tmLastPosPgfIdx w:val="0"/>
      <w:tmLastPosIdx w:val="0"/>
    </w:tmLastPosAnchor>
    <w:tmLastPosTblRect w:left="0" w:top="0" w:right="0" w:bottom="0"/>
  </w:tmLastPos>
  <w:tmAppRevision w:date="1766296532"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6</cp:revision>
  <cp:lastPrinted>2025-12-14T05:50:10Z</cp:lastPrinted>
  <dcterms:created xsi:type="dcterms:W3CDTF">2025-12-06T16:40:00Z</dcterms:created>
  <dcterms:modified xsi:type="dcterms:W3CDTF">2025-12-21T05:55:32Z</dcterms:modified>
</cp:coreProperties>
</file>